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312B" w:rsidRPr="00A33B77" w:rsidRDefault="0029312B" w:rsidP="00A33B77">
      <w:pPr>
        <w:rPr>
          <w:rStyle w:val="Emphasis"/>
        </w:rPr>
      </w:pPr>
      <w:r w:rsidRPr="00A33B77">
        <w:rPr>
          <w:rStyle w:val="Emphasis"/>
        </w:rPr>
        <w:t>Nurse Practitioners</w:t>
      </w:r>
    </w:p>
    <w:p w:rsidR="0029312B" w:rsidRPr="00A33B77" w:rsidRDefault="0029312B" w:rsidP="00A33B77">
      <w:pPr>
        <w:spacing w:before="0" w:line="286" w:lineRule="auto"/>
        <w:rPr>
          <w:rStyle w:val="IntenseEmphasis"/>
        </w:rPr>
      </w:pPr>
      <w:r w:rsidRPr="00A33B77">
        <w:rPr>
          <w:rStyle w:val="IntenseEmphasis"/>
        </w:rPr>
        <w:t>2017 Factsheet</w:t>
      </w:r>
    </w:p>
    <w:p w:rsidR="00003743" w:rsidRDefault="0029312B" w:rsidP="00A33B77">
      <w:r>
        <w:t>A Nurse Practitioner (NP) is a Registered Nurse (RN) educated to a master’s degree level. The NP role includes assessment and management of clients using nursing knowledge and skills and may include, but is not limited to, the direct referral of patients to other health care professionals, prescribing medications and ordering diagnostic investigations. The qualification requirement is a Masters of Nurse Practitioner.</w:t>
      </w:r>
    </w:p>
    <w:p w:rsidR="0029312B" w:rsidRDefault="0029312B" w:rsidP="00A33B77">
      <w:pPr>
        <w:pStyle w:val="Heading1"/>
      </w:pPr>
      <w:r>
        <w:t>The Workforce</w:t>
      </w:r>
    </w:p>
    <w:p w:rsidR="0029312B" w:rsidRDefault="0029312B" w:rsidP="00A33B77">
      <w:r>
        <w:t xml:space="preserve">Between 2014 and 2017, the total number of Nurse Practitioners with general or provisional registrations has increased by 43.4% from </w:t>
      </w:r>
      <w:r>
        <w:rPr>
          <w:lang w:val="af-ZA"/>
        </w:rPr>
        <w:t>1,085</w:t>
      </w:r>
      <w:r>
        <w:t xml:space="preserve"> to </w:t>
      </w:r>
      <w:r>
        <w:rPr>
          <w:lang w:val="af-ZA"/>
        </w:rPr>
        <w:t>1,556</w:t>
      </w:r>
      <w:r>
        <w:t xml:space="preserve"> (an average annual growth of 12.8%). The number of employed Nurse Practitioners (‘workforce’) has increased by 41.1% from 1,036 to 1,462 over the same period (an average annual growth of 12.2%).</w:t>
      </w:r>
    </w:p>
    <w:p w:rsidR="0029312B" w:rsidRDefault="0029312B" w:rsidP="00A33B77">
      <w:pPr>
        <w:rPr>
          <w:i/>
          <w:iCs/>
          <w:sz w:val="8"/>
          <w:szCs w:val="8"/>
        </w:rPr>
      </w:pPr>
      <w:r>
        <w:t>Currently the workforce survey does not collect information on whether a nurse is employed in a job in which a nurse practitioner endorsement is required or utilised. The following analysis of the Nurse Practitioner ‘workforce’ is based on the number of nurses who held a Nurse Practitioner endorsement and were employed (</w:t>
      </w:r>
      <w:r>
        <w:rPr>
          <w:lang w:val="af-ZA"/>
        </w:rPr>
        <w:t>1,462</w:t>
      </w:r>
      <w:r>
        <w:t xml:space="preserve"> in 2017), unless otherwise stated.</w:t>
      </w:r>
    </w:p>
    <w:p w:rsidR="0029312B" w:rsidRDefault="0029312B" w:rsidP="00A33B77">
      <w:pPr>
        <w:pStyle w:val="Heading1"/>
        <w:rPr>
          <w:iCs/>
          <w:spacing w:val="5"/>
        </w:rPr>
      </w:pPr>
      <w:r>
        <w:t>Demographics</w:t>
      </w:r>
    </w:p>
    <w:p w:rsidR="0029312B" w:rsidRDefault="0029312B" w:rsidP="00A33B77">
      <w:r>
        <w:t xml:space="preserve">In 2017, </w:t>
      </w:r>
      <w:r>
        <w:rPr>
          <w:lang w:val="af-ZA"/>
        </w:rPr>
        <w:t>80.9</w:t>
      </w:r>
      <w:r>
        <w:t xml:space="preserve">% of the Nurse Practitioner </w:t>
      </w:r>
      <w:proofErr w:type="gramStart"/>
      <w:r>
        <w:t>workforce were</w:t>
      </w:r>
      <w:proofErr w:type="gramEnd"/>
      <w:r>
        <w:t xml:space="preserve"> female. Since 2014, the number of male Nurse Practitioners has increased by 85 and they now comprise </w:t>
      </w:r>
      <w:r>
        <w:rPr>
          <w:lang w:val="af-ZA"/>
        </w:rPr>
        <w:t>19.1</w:t>
      </w:r>
      <w:r>
        <w:t>% of the workforce.</w:t>
      </w:r>
    </w:p>
    <w:p w:rsidR="0029312B" w:rsidRDefault="0029312B" w:rsidP="00A33B77">
      <w:pPr>
        <w:rPr>
          <w:b/>
          <w:bCs/>
          <w:iCs/>
          <w:color w:val="000099"/>
          <w:spacing w:val="5"/>
        </w:rPr>
      </w:pPr>
      <w:r>
        <w:t xml:space="preserve">The average age of the workforce has increased from 48.4 years in 2014 to 49.4 years in 2017. The proportion of Nurse Practitioners in the 55 years and over age group has grown from 23.2% in 2014 to 30.5% in 2017. </w:t>
      </w:r>
    </w:p>
    <w:p w:rsidR="0029312B" w:rsidRDefault="0029312B" w:rsidP="00A33B77">
      <w:pPr>
        <w:pStyle w:val="Heading2"/>
      </w:pPr>
      <w:r>
        <w:rPr>
          <w:iCs/>
        </w:rPr>
        <w:t xml:space="preserve">Hours </w:t>
      </w:r>
      <w:r>
        <w:t>worked</w:t>
      </w:r>
    </w:p>
    <w:p w:rsidR="0029312B" w:rsidRDefault="0029312B" w:rsidP="00A33B77">
      <w:r>
        <w:t xml:space="preserve">Since 2014, the number of average hours worked per week has decreased by 0.6 hours to </w:t>
      </w:r>
      <w:r>
        <w:rPr>
          <w:lang w:val="af-ZA"/>
        </w:rPr>
        <w:t>38.4</w:t>
      </w:r>
      <w:r>
        <w:t xml:space="preserve"> hours in 2017. The majority of these hours were worked in a clinical role (</w:t>
      </w:r>
      <w:r>
        <w:rPr>
          <w:lang w:val="af-ZA"/>
        </w:rPr>
        <w:t>32.4</w:t>
      </w:r>
      <w:r>
        <w:t xml:space="preserve"> hours per week on average).</w:t>
      </w:r>
    </w:p>
    <w:p w:rsidR="0029312B" w:rsidRDefault="0029312B" w:rsidP="00A33B77">
      <w:r>
        <w:t>Male Nurse Practitioners worked more hours per week on average than females in 2017 (40.4 hours vs 37.9 hours), however, this was not the case for all age groups. In the youngest age group males and females worked equal hours, while the largest difference appeared in the 35 - 44 year age group, where males worked an average of 6.1 hours more than females. Conversely, females 55 years and over worked more hours than males.</w:t>
      </w:r>
    </w:p>
    <w:p w:rsidR="0029312B" w:rsidRDefault="0029312B" w:rsidP="00A33B77">
      <w:pPr>
        <w:pStyle w:val="Heading2"/>
      </w:pPr>
      <w:r>
        <w:lastRenderedPageBreak/>
        <w:t>Job Role</w:t>
      </w:r>
    </w:p>
    <w:p w:rsidR="0029312B" w:rsidRDefault="0029312B" w:rsidP="00A33B77">
      <w:pPr>
        <w:rPr>
          <w:color w:val="00B0F0"/>
        </w:rPr>
      </w:pPr>
      <w:r>
        <w:t xml:space="preserve">In 2017, </w:t>
      </w:r>
      <w:r>
        <w:rPr>
          <w:lang w:val="af-ZA"/>
        </w:rPr>
        <w:t>92.1</w:t>
      </w:r>
      <w:r>
        <w:t>% of Nurse Practitioners worked as clinicians - a small increase in comparison with 2014 (</w:t>
      </w:r>
      <w:r>
        <w:rPr>
          <w:lang w:val="af-ZA"/>
        </w:rPr>
        <w:t>91.6</w:t>
      </w:r>
      <w:r>
        <w:t>%).</w:t>
      </w:r>
    </w:p>
    <w:p w:rsidR="0029312B" w:rsidRDefault="0029312B" w:rsidP="00A33B77">
      <w:pPr>
        <w:pStyle w:val="Heading2"/>
      </w:pPr>
      <w:r w:rsidRPr="0029312B">
        <w:t>Principal</w:t>
      </w:r>
      <w:r>
        <w:t xml:space="preserve"> work sector</w:t>
      </w:r>
    </w:p>
    <w:p w:rsidR="0029312B" w:rsidRDefault="00A33B77" w:rsidP="00A33B77">
      <w:r>
        <w:t>In</w:t>
      </w:r>
      <w:r w:rsidR="0029312B">
        <w:t xml:space="preserve">, </w:t>
      </w:r>
      <w:r w:rsidR="0029312B">
        <w:rPr>
          <w:lang w:val="af-ZA"/>
        </w:rPr>
        <w:t>68.6</w:t>
      </w:r>
      <w:r w:rsidR="0029312B">
        <w:t xml:space="preserve">% of Nurse Practitioners worked only in the public sector, </w:t>
      </w:r>
      <w:r w:rsidR="0029312B">
        <w:rPr>
          <w:lang w:val="af-ZA"/>
        </w:rPr>
        <w:t>24.4</w:t>
      </w:r>
      <w:r w:rsidR="0029312B">
        <w:t xml:space="preserve">% only in the private sector and </w:t>
      </w:r>
      <w:r w:rsidR="0029312B">
        <w:rPr>
          <w:lang w:val="af-ZA"/>
        </w:rPr>
        <w:t>6.0</w:t>
      </w:r>
      <w:r w:rsidR="0029312B">
        <w:t>% in both.</w:t>
      </w:r>
    </w:p>
    <w:p w:rsidR="0029312B" w:rsidRDefault="0029312B" w:rsidP="00A33B77">
      <w:pPr>
        <w:pStyle w:val="Heading2"/>
      </w:pPr>
      <w:r>
        <w:t>Principal area of practice</w:t>
      </w:r>
    </w:p>
    <w:p w:rsidR="0029312B" w:rsidRDefault="0029312B" w:rsidP="00A33B77">
      <w:r>
        <w:t xml:space="preserve">In 2017, ten principal areas of practice also accounted for </w:t>
      </w:r>
      <w:r>
        <w:rPr>
          <w:lang w:val="af-ZA"/>
        </w:rPr>
        <w:t>81.3</w:t>
      </w:r>
      <w:r>
        <w:t>% of the Nurse Practitioner workforce. In 2014, the</w:t>
      </w:r>
      <w:r w:rsidR="00A33B77">
        <w:t xml:space="preserve"> ‘</w:t>
      </w:r>
      <w:r>
        <w:t xml:space="preserve">top ten’ areas of practice accounted for </w:t>
      </w:r>
      <w:r>
        <w:rPr>
          <w:lang w:val="af-ZA"/>
        </w:rPr>
        <w:t>83.1</w:t>
      </w:r>
      <w:r>
        <w:t>% of the workforce.</w:t>
      </w:r>
    </w:p>
    <w:p w:rsidR="0029312B" w:rsidRDefault="0029312B" w:rsidP="00A33B77">
      <w:r>
        <w:t xml:space="preserve">In 2017, </w:t>
      </w:r>
      <w:r w:rsidRPr="00A33B77">
        <w:t>Nurse</w:t>
      </w:r>
      <w:r>
        <w:t xml:space="preserve"> Practitioners whose principal area of practice was Mental Health reported the highest average hours per week (</w:t>
      </w:r>
      <w:r>
        <w:rPr>
          <w:lang w:val="af-ZA"/>
        </w:rPr>
        <w:t>40.8</w:t>
      </w:r>
      <w:r>
        <w:t xml:space="preserve"> hours), while those working in Maternity care reported the lowest average hours per week (</w:t>
      </w:r>
      <w:r>
        <w:rPr>
          <w:lang w:val="af-ZA"/>
        </w:rPr>
        <w:t>13.1</w:t>
      </w:r>
      <w:r>
        <w:t xml:space="preserve"> hours).</w:t>
      </w:r>
    </w:p>
    <w:p w:rsidR="0029312B" w:rsidRDefault="0029312B" w:rsidP="00A33B77">
      <w:pPr>
        <w:pStyle w:val="Heading2"/>
      </w:pPr>
      <w:r>
        <w:t>Principal work setting</w:t>
      </w:r>
    </w:p>
    <w:p w:rsidR="0029312B" w:rsidRDefault="0029312B" w:rsidP="00A33B77">
      <w:r>
        <w:t xml:space="preserve">In 2017, </w:t>
      </w:r>
      <w:r>
        <w:rPr>
          <w:lang w:val="af-ZA"/>
        </w:rPr>
        <w:t>45.6</w:t>
      </w:r>
      <w:r>
        <w:t>% of Nurse practitioners worked primarily in a Hospital setting. Community health care services were the next most common work setting (</w:t>
      </w:r>
      <w:r>
        <w:rPr>
          <w:lang w:val="af-ZA"/>
        </w:rPr>
        <w:t>14.0</w:t>
      </w:r>
      <w:r>
        <w:t>%) followed by Outpatient services (11.8%). These were also the three most common principal work settings in 2014.</w:t>
      </w:r>
    </w:p>
    <w:p w:rsidR="0029312B" w:rsidRDefault="0029312B" w:rsidP="00A33B77">
      <w:r>
        <w:t xml:space="preserve">In 2017, there was a change to the response options in the principal work setting question in the survey (‘independent private practice’ was added). Consequently, there are small changes between 2014 and 2017 in the number of Nurse Practitioners who reported working in </w:t>
      </w:r>
      <w:proofErr w:type="gramStart"/>
      <w:r>
        <w:t>Other</w:t>
      </w:r>
      <w:proofErr w:type="gramEnd"/>
      <w:r>
        <w:t xml:space="preserve"> private practice.</w:t>
      </w:r>
    </w:p>
    <w:p w:rsidR="0029312B" w:rsidRDefault="0029312B" w:rsidP="00A33B77">
      <w:pPr>
        <w:pStyle w:val="Heading2"/>
      </w:pPr>
      <w:r>
        <w:t>Working Intentions</w:t>
      </w:r>
    </w:p>
    <w:p w:rsidR="0029312B" w:rsidRDefault="0029312B" w:rsidP="00A33B77">
      <w:r>
        <w:t xml:space="preserve">In 2017, Nurse Practitioners had worked for </w:t>
      </w:r>
      <w:r>
        <w:rPr>
          <w:lang w:val="af-ZA"/>
        </w:rPr>
        <w:t>24</w:t>
      </w:r>
      <w:r>
        <w:t xml:space="preserve"> years on average and intended to stay in the workforce for another </w:t>
      </w:r>
      <w:r>
        <w:rPr>
          <w:lang w:val="af-ZA"/>
        </w:rPr>
        <w:t>15</w:t>
      </w:r>
      <w:r>
        <w:rPr>
          <w:b/>
          <w:bCs/>
          <w:color w:val="FF6600"/>
        </w:rPr>
        <w:t xml:space="preserve"> </w:t>
      </w:r>
      <w:r>
        <w:t>years. There were gender differences: males reported having worked fewer years than females (20 years vs 24 years) but intended to stay longer (17 years vs 14 years). These differences are indicative of a younger male workforce (47% of male Nurse Practitioners are aged 44 years or younger relative to 25% of female Nurse Practitioners).</w:t>
      </w:r>
    </w:p>
    <w:p w:rsidR="0029312B" w:rsidRDefault="0029312B" w:rsidP="00A33B77">
      <w:pPr>
        <w:pStyle w:val="Heading2"/>
      </w:pPr>
      <w:r>
        <w:t>Initial qualification</w:t>
      </w:r>
    </w:p>
    <w:p w:rsidR="0029312B" w:rsidRDefault="0029312B" w:rsidP="00A33B77">
      <w:r>
        <w:t xml:space="preserve">The workforce survey asks where nurses and midwives obtained their initial qualification. In 2017, </w:t>
      </w:r>
      <w:r>
        <w:rPr>
          <w:lang w:val="af-ZA"/>
        </w:rPr>
        <w:t>79.0</w:t>
      </w:r>
      <w:r>
        <w:t xml:space="preserve">% of Nurse Practitioners obtained their initial qualification(s) in Australia, </w:t>
      </w:r>
      <w:r>
        <w:rPr>
          <w:lang w:val="af-ZA"/>
        </w:rPr>
        <w:t>20.2</w:t>
      </w:r>
      <w:r>
        <w:t xml:space="preserve">% obtained their initial qualification(s) overseas and </w:t>
      </w:r>
      <w:r>
        <w:rPr>
          <w:lang w:val="af-ZA"/>
        </w:rPr>
        <w:t>0.7</w:t>
      </w:r>
      <w:r>
        <w:t>% obtained both Australian and overseas qualifications.</w:t>
      </w:r>
    </w:p>
    <w:p w:rsidR="00A33B77" w:rsidRDefault="00A33B77">
      <w:pPr>
        <w:widowControl/>
        <w:spacing w:before="0" w:line="240" w:lineRule="auto"/>
        <w:rPr>
          <w:rFonts w:ascii="Arial" w:hAnsi="Arial" w:cs="Arial"/>
          <w:b/>
          <w:bCs/>
          <w:sz w:val="28"/>
          <w:szCs w:val="32"/>
        </w:rPr>
      </w:pPr>
      <w:r>
        <w:br w:type="page"/>
      </w:r>
    </w:p>
    <w:p w:rsidR="0029312B" w:rsidRDefault="0029312B" w:rsidP="00A33B77">
      <w:pPr>
        <w:pStyle w:val="Heading1"/>
      </w:pPr>
      <w:r>
        <w:lastRenderedPageBreak/>
        <w:t>Distribution</w:t>
      </w:r>
    </w:p>
    <w:p w:rsidR="0029312B" w:rsidRDefault="0029312B" w:rsidP="00A33B77">
      <w:pPr>
        <w:pStyle w:val="Heading2"/>
      </w:pPr>
      <w:r>
        <w:t>State and territory</w:t>
      </w:r>
    </w:p>
    <w:p w:rsidR="0029312B" w:rsidRDefault="0029312B" w:rsidP="00A33B77">
      <w:r>
        <w:t>In 2017, over two thirds (69.4%) of the workforce was located in three states: QLD</w:t>
      </w:r>
      <w:r>
        <w:rPr>
          <w:b/>
          <w:bCs/>
        </w:rPr>
        <w:t xml:space="preserve"> </w:t>
      </w:r>
      <w:r>
        <w:t>(</w:t>
      </w:r>
      <w:r>
        <w:rPr>
          <w:lang w:val="af-ZA"/>
        </w:rPr>
        <w:t>26.6</w:t>
      </w:r>
      <w:r>
        <w:t>%), NSW</w:t>
      </w:r>
      <w:r>
        <w:rPr>
          <w:b/>
          <w:bCs/>
        </w:rPr>
        <w:t xml:space="preserve"> </w:t>
      </w:r>
      <w:r>
        <w:t>(</w:t>
      </w:r>
      <w:r>
        <w:rPr>
          <w:lang w:val="af-ZA"/>
        </w:rPr>
        <w:t>23.1</w:t>
      </w:r>
      <w:r>
        <w:t>%) and VIC (</w:t>
      </w:r>
      <w:r>
        <w:rPr>
          <w:lang w:val="af-ZA"/>
        </w:rPr>
        <w:t>19.7</w:t>
      </w:r>
      <w:r>
        <w:t>%).</w:t>
      </w:r>
      <w:r>
        <w:rPr>
          <w:b/>
          <w:bCs/>
        </w:rPr>
        <w:t xml:space="preserve"> </w:t>
      </w:r>
    </w:p>
    <w:p w:rsidR="0029312B" w:rsidRDefault="0029312B" w:rsidP="00A33B77">
      <w:pPr>
        <w:rPr>
          <w:color w:val="FF6600"/>
        </w:rPr>
      </w:pPr>
      <w:r>
        <w:t xml:space="preserve">In 2017, the highest rate of Nurse Practitioners per 100,000 </w:t>
      </w:r>
      <w:proofErr w:type="gramStart"/>
      <w:r>
        <w:t>population</w:t>
      </w:r>
      <w:proofErr w:type="gramEnd"/>
      <w:r>
        <w:t xml:space="preserve"> were in the ACT and WA</w:t>
      </w:r>
      <w:r>
        <w:rPr>
          <w:b/>
          <w:bCs/>
        </w:rPr>
        <w:t xml:space="preserve"> </w:t>
      </w:r>
      <w:r>
        <w:t>while the lowest rate was in NSW</w:t>
      </w:r>
      <w:r>
        <w:rPr>
          <w:b/>
          <w:bCs/>
        </w:rPr>
        <w:t xml:space="preserve">. </w:t>
      </w:r>
      <w:r>
        <w:t>Between 2014 and 2017, the NT had the largest rate increase (2.7), followed by WA (2.2).</w:t>
      </w:r>
    </w:p>
    <w:p w:rsidR="0029312B" w:rsidRDefault="0029312B" w:rsidP="00A33B77">
      <w:pPr>
        <w:rPr>
          <w:color w:val="FF6600"/>
        </w:rPr>
      </w:pPr>
      <w:r>
        <w:t>From 2014 to 2017, the average hours worked per week decreased across all States and Territories except TAS. In 2017, Nurse Practitioners in TAS worked the highest average hours per week (</w:t>
      </w:r>
      <w:r>
        <w:rPr>
          <w:lang w:val="af-ZA"/>
        </w:rPr>
        <w:t>40.4</w:t>
      </w:r>
      <w:r>
        <w:t xml:space="preserve"> hours) and those in SA worked the fewest hours (</w:t>
      </w:r>
      <w:r>
        <w:rPr>
          <w:lang w:val="af-ZA"/>
        </w:rPr>
        <w:t>36.2</w:t>
      </w:r>
      <w:r>
        <w:t xml:space="preserve"> hours).</w:t>
      </w:r>
      <w:r>
        <w:rPr>
          <w:color w:val="FF6600"/>
        </w:rPr>
        <w:t xml:space="preserve"> </w:t>
      </w:r>
    </w:p>
    <w:p w:rsidR="0029312B" w:rsidRDefault="0029312B" w:rsidP="00A33B77">
      <w:pPr>
        <w:pStyle w:val="Heading2"/>
      </w:pPr>
      <w:r>
        <w:t>Remoteness area</w:t>
      </w:r>
    </w:p>
    <w:p w:rsidR="0029312B" w:rsidRDefault="0029312B" w:rsidP="00A33B77">
      <w:r>
        <w:t xml:space="preserve">In 2017, </w:t>
      </w:r>
      <w:r>
        <w:rPr>
          <w:lang w:val="af-ZA"/>
        </w:rPr>
        <w:t>67.8</w:t>
      </w:r>
      <w:r>
        <w:t xml:space="preserve">% of Nurse Practitioners worked in Major cities, </w:t>
      </w:r>
      <w:r>
        <w:rPr>
          <w:lang w:val="af-ZA"/>
        </w:rPr>
        <w:t>18.3</w:t>
      </w:r>
      <w:r>
        <w:t xml:space="preserve">% in Inner regional, </w:t>
      </w:r>
      <w:r>
        <w:rPr>
          <w:lang w:val="af-ZA"/>
        </w:rPr>
        <w:t>9.4</w:t>
      </w:r>
      <w:r>
        <w:t xml:space="preserve">% in Outer regional and 4.5% in Very remote/Remote locations. </w:t>
      </w:r>
    </w:p>
    <w:p w:rsidR="0029312B" w:rsidRDefault="0029312B" w:rsidP="00A33B77">
      <w:r>
        <w:t xml:space="preserve">The Nurse Practitioner workforce has experienced a slight shift away from regional/remote areas since 2014 when </w:t>
      </w:r>
      <w:r>
        <w:rPr>
          <w:lang w:val="af-ZA"/>
        </w:rPr>
        <w:t>65.9</w:t>
      </w:r>
      <w:r>
        <w:t xml:space="preserve">% of Nurse Practitioners worked in Major cities, </w:t>
      </w:r>
      <w:r>
        <w:rPr>
          <w:lang w:val="af-ZA"/>
        </w:rPr>
        <w:t>19.1</w:t>
      </w:r>
      <w:r>
        <w:t>% in Inner regional, 9.5% in Outer regional and 5.5% in Remote/Very remote locations.</w:t>
      </w:r>
    </w:p>
    <w:p w:rsidR="0029312B" w:rsidRDefault="0029312B" w:rsidP="00A33B77">
      <w:pPr>
        <w:rPr>
          <w:color w:val="00B0F0"/>
        </w:rPr>
      </w:pPr>
      <w:r>
        <w:t xml:space="preserve">In 2017, average hours worked per week generally increased with remoteness, from </w:t>
      </w:r>
      <w:r>
        <w:rPr>
          <w:lang w:val="af-ZA"/>
        </w:rPr>
        <w:t>38.8</w:t>
      </w:r>
      <w:r>
        <w:t xml:space="preserve"> hours in Inner Regional areas to </w:t>
      </w:r>
      <w:r>
        <w:rPr>
          <w:lang w:val="af-ZA"/>
        </w:rPr>
        <w:t>43.2</w:t>
      </w:r>
      <w:r>
        <w:t xml:space="preserve"> hours in Very Remote areas. </w:t>
      </w:r>
    </w:p>
    <w:p w:rsidR="0029312B" w:rsidRDefault="0029312B" w:rsidP="00A33B77">
      <w:pPr>
        <w:pStyle w:val="Heading2"/>
        <w:rPr>
          <w:sz w:val="18"/>
          <w:szCs w:val="18"/>
        </w:rPr>
      </w:pPr>
      <w:r>
        <w:t>Modified Monash Model</w:t>
      </w:r>
    </w:p>
    <w:p w:rsidR="0029312B" w:rsidRDefault="0029312B" w:rsidP="00A33B77">
      <w:r>
        <w:t>In 2</w:t>
      </w:r>
      <w:r w:rsidR="00A33B77">
        <w:t>017, the majority of FTE Nurse P</w:t>
      </w:r>
      <w:r>
        <w:t>ractitioners (67.1%) were located in a major city or a location considered as MMM1 under the Modified Monash Model (MMM) classification system, an increase from up from 65.9% in 2014.</w:t>
      </w:r>
    </w:p>
    <w:p w:rsidR="0029312B" w:rsidRPr="00A33B77" w:rsidRDefault="0029312B" w:rsidP="00A33B77">
      <w:pPr>
        <w:rPr>
          <w:sz w:val="20"/>
          <w:szCs w:val="20"/>
        </w:rPr>
      </w:pPr>
      <w:r w:rsidRPr="00A33B77">
        <w:rPr>
          <w:sz w:val="20"/>
          <w:szCs w:val="20"/>
        </w:rPr>
        <w:t>Note: See www.doctorconnect.gov.au for more information</w:t>
      </w:r>
    </w:p>
    <w:p w:rsidR="0029312B" w:rsidRDefault="0029312B" w:rsidP="00A33B77">
      <w:pPr>
        <w:rPr>
          <w:b/>
          <w:bCs/>
        </w:rPr>
      </w:pPr>
      <w:r>
        <w:rPr>
          <w:b/>
          <w:bCs/>
        </w:rPr>
        <w:t xml:space="preserve">Tele-Health </w:t>
      </w:r>
    </w:p>
    <w:p w:rsidR="0029312B" w:rsidRDefault="0029312B" w:rsidP="00A33B77">
      <w:r>
        <w:t>The workforce survey asks nurses and midwives to report hours practiced via tele-health in nursing, midwifery, or both in the previous year. Responses have been combined to provide an average for the workforce</w:t>
      </w:r>
    </w:p>
    <w:p w:rsidR="0029312B" w:rsidRPr="0029312B" w:rsidRDefault="0029312B" w:rsidP="00A33B77">
      <w:r w:rsidRPr="0029312B">
        <w:t xml:space="preserve">Note: Tele-health is defined as the use of telecommunication techniques for the purpose of providing telemedicine and education, and health education over a distance. </w:t>
      </w:r>
    </w:p>
    <w:p w:rsidR="0029312B" w:rsidRDefault="0029312B" w:rsidP="00A33B77">
      <w:r>
        <w:t xml:space="preserve">In 2017, </w:t>
      </w:r>
      <w:r>
        <w:rPr>
          <w:lang w:val="af-ZA"/>
        </w:rPr>
        <w:t>15.9</w:t>
      </w:r>
      <w:r>
        <w:t>% (</w:t>
      </w:r>
      <w:r>
        <w:rPr>
          <w:lang w:val="af-ZA"/>
        </w:rPr>
        <w:t>232</w:t>
      </w:r>
      <w:r>
        <w:t xml:space="preserve">) of the workforce responded to the tele-health question. On average, respondents practiced via tele-health </w:t>
      </w:r>
      <w:r>
        <w:rPr>
          <w:lang w:val="af-ZA"/>
        </w:rPr>
        <w:t>3.7</w:t>
      </w:r>
      <w:r>
        <w:t xml:space="preserve"> hours per week.</w:t>
      </w:r>
    </w:p>
    <w:p w:rsidR="0029312B" w:rsidRDefault="0029312B" w:rsidP="00A33B77">
      <w:r>
        <w:t>Remoteness area breakdown for tele-health refers to the location of the Nurse Practitioner, not the location of the person receiving the service.</w:t>
      </w:r>
    </w:p>
    <w:p w:rsidR="0029312B" w:rsidRDefault="0029312B" w:rsidP="00A33B77">
      <w:r>
        <w:lastRenderedPageBreak/>
        <w:t> </w:t>
      </w:r>
    </w:p>
    <w:p w:rsidR="0029312B" w:rsidRPr="00A33B77" w:rsidRDefault="0029312B" w:rsidP="00A33B77">
      <w:pPr>
        <w:rPr>
          <w:sz w:val="20"/>
          <w:szCs w:val="20"/>
        </w:rPr>
      </w:pPr>
      <w:r w:rsidRPr="00A33B77">
        <w:rPr>
          <w:sz w:val="20"/>
          <w:szCs w:val="20"/>
        </w:rPr>
        <w:t>There are 5 factsheets in this series: 1 Nurses and Midwives, 2 Registered Nurses, 3 Midwives, 4 Enrolled Nurses, 5 Nurse Practitioners.</w:t>
      </w:r>
    </w:p>
    <w:p w:rsidR="0029312B" w:rsidRDefault="0029312B" w:rsidP="00A33B77">
      <w:pPr>
        <w:rPr>
          <w:sz w:val="20"/>
          <w:szCs w:val="20"/>
        </w:rPr>
      </w:pPr>
      <w:proofErr w:type="gramStart"/>
      <w:r w:rsidRPr="00A33B77">
        <w:rPr>
          <w:sz w:val="20"/>
          <w:szCs w:val="20"/>
        </w:rPr>
        <w:t>If a practitioner has a job role or worked hours in more than one profession they will be counted in each professions factsheet, but only once in the Nurses and Midwives factsheet.</w:t>
      </w:r>
      <w:proofErr w:type="gramEnd"/>
      <w:r w:rsidRPr="00A33B77">
        <w:rPr>
          <w:sz w:val="20"/>
          <w:szCs w:val="20"/>
        </w:rPr>
        <w:t xml:space="preserve"> This means, when the profession factsheets are added together, the total will vary from the Nurses and Midwives factsheet.</w:t>
      </w:r>
    </w:p>
    <w:p w:rsidR="00A33B77" w:rsidRDefault="00A33B77" w:rsidP="00A33B77">
      <w:pPr>
        <w:pStyle w:val="Heading2"/>
      </w:pPr>
      <w:r>
        <w:t>Commonwealth</w:t>
      </w:r>
      <w:r>
        <w:rPr>
          <w:spacing w:val="-8"/>
        </w:rPr>
        <w:t xml:space="preserve"> </w:t>
      </w:r>
      <w:r>
        <w:t>of</w:t>
      </w:r>
      <w:r>
        <w:rPr>
          <w:spacing w:val="-7"/>
        </w:rPr>
        <w:t xml:space="preserve"> </w:t>
      </w:r>
      <w:r>
        <w:t>Australia</w:t>
      </w:r>
      <w:r>
        <w:rPr>
          <w:spacing w:val="-8"/>
        </w:rPr>
        <w:t xml:space="preserve"> </w:t>
      </w:r>
      <w:r>
        <w:t>2018</w:t>
      </w:r>
    </w:p>
    <w:p w:rsidR="00A33B77" w:rsidRDefault="00A33B77" w:rsidP="00A33B77">
      <w:pPr>
        <w:spacing w:before="80"/>
      </w:pPr>
      <w:r>
        <w:t>This</w:t>
      </w:r>
      <w:r>
        <w:rPr>
          <w:spacing w:val="-1"/>
        </w:rPr>
        <w:t xml:space="preserve"> </w:t>
      </w:r>
      <w:r>
        <w:t>work</w:t>
      </w:r>
      <w:r>
        <w:rPr>
          <w:spacing w:val="-1"/>
        </w:rPr>
        <w:t xml:space="preserve"> </w:t>
      </w:r>
      <w:r>
        <w:t>is</w:t>
      </w:r>
      <w:r>
        <w:rPr>
          <w:spacing w:val="-1"/>
        </w:rPr>
        <w:t xml:space="preserve"> </w:t>
      </w:r>
      <w:r>
        <w:t>copyright. You</w:t>
      </w:r>
      <w:r>
        <w:rPr>
          <w:spacing w:val="-1"/>
        </w:rPr>
        <w:t xml:space="preserve"> </w:t>
      </w:r>
      <w:r>
        <w:t>may</w:t>
      </w:r>
      <w:r>
        <w:rPr>
          <w:spacing w:val="-1"/>
        </w:rPr>
        <w:t xml:space="preserve"> </w:t>
      </w:r>
      <w:r>
        <w:t>download, display,</w:t>
      </w:r>
      <w:r>
        <w:rPr>
          <w:spacing w:val="-1"/>
        </w:rPr>
        <w:t xml:space="preserve"> </w:t>
      </w:r>
      <w:r>
        <w:t>print</w:t>
      </w:r>
      <w:r>
        <w:rPr>
          <w:spacing w:val="-1"/>
        </w:rPr>
        <w:t xml:space="preserve"> </w:t>
      </w:r>
      <w:r>
        <w:t>and reproduce</w:t>
      </w:r>
      <w:r>
        <w:rPr>
          <w:spacing w:val="-1"/>
        </w:rPr>
        <w:t xml:space="preserve"> </w:t>
      </w:r>
      <w:r>
        <w:t>the</w:t>
      </w:r>
      <w:r>
        <w:rPr>
          <w:spacing w:val="-1"/>
        </w:rPr>
        <w:t xml:space="preserve"> </w:t>
      </w:r>
      <w:r>
        <w:t>whole or</w:t>
      </w:r>
      <w:r>
        <w:rPr>
          <w:spacing w:val="-1"/>
        </w:rPr>
        <w:t xml:space="preserve"> </w:t>
      </w:r>
      <w:r>
        <w:t>part</w:t>
      </w:r>
      <w:r>
        <w:rPr>
          <w:spacing w:val="-1"/>
        </w:rPr>
        <w:t xml:space="preserve"> </w:t>
      </w:r>
      <w:r>
        <w:t>of this</w:t>
      </w:r>
      <w:r>
        <w:rPr>
          <w:spacing w:val="-1"/>
        </w:rPr>
        <w:t xml:space="preserve"> </w:t>
      </w:r>
      <w:r>
        <w:t>work</w:t>
      </w:r>
      <w:r>
        <w:rPr>
          <w:spacing w:val="-1"/>
        </w:rPr>
        <w:t xml:space="preserve"> </w:t>
      </w:r>
      <w:r>
        <w:t>in</w:t>
      </w:r>
      <w:r>
        <w:rPr>
          <w:spacing w:val="-1"/>
        </w:rPr>
        <w:t xml:space="preserve"> </w:t>
      </w:r>
      <w:r>
        <w:t>unaltered form</w:t>
      </w:r>
      <w:r>
        <w:rPr>
          <w:spacing w:val="-1"/>
        </w:rPr>
        <w:t xml:space="preserve"> </w:t>
      </w:r>
      <w:r>
        <w:t>for</w:t>
      </w:r>
      <w:r>
        <w:rPr>
          <w:spacing w:val="-2"/>
        </w:rPr>
        <w:t xml:space="preserve"> </w:t>
      </w:r>
      <w:r>
        <w:t>your</w:t>
      </w:r>
      <w:r>
        <w:rPr>
          <w:spacing w:val="-1"/>
        </w:rPr>
        <w:t xml:space="preserve"> </w:t>
      </w:r>
      <w:r>
        <w:t>own</w:t>
      </w:r>
      <w:r>
        <w:rPr>
          <w:spacing w:val="-1"/>
        </w:rPr>
        <w:t xml:space="preserve"> </w:t>
      </w:r>
      <w:r>
        <w:t>personal</w:t>
      </w:r>
      <w:r>
        <w:rPr>
          <w:spacing w:val="-1"/>
        </w:rPr>
        <w:t xml:space="preserve"> </w:t>
      </w:r>
      <w:r>
        <w:t>use</w:t>
      </w:r>
      <w:r>
        <w:rPr>
          <w:spacing w:val="-1"/>
        </w:rPr>
        <w:t xml:space="preserve"> </w:t>
      </w:r>
      <w:r>
        <w:t>or,</w:t>
      </w:r>
      <w:r>
        <w:rPr>
          <w:spacing w:val="-1"/>
        </w:rPr>
        <w:t xml:space="preserve"> </w:t>
      </w:r>
      <w:r>
        <w:t>if</w:t>
      </w:r>
      <w:r>
        <w:rPr>
          <w:spacing w:val="-1"/>
        </w:rPr>
        <w:t xml:space="preserve"> </w:t>
      </w:r>
      <w:r>
        <w:t>you</w:t>
      </w:r>
      <w:r>
        <w:rPr>
          <w:spacing w:val="-1"/>
        </w:rPr>
        <w:t xml:space="preserve"> </w:t>
      </w:r>
      <w:r>
        <w:t>are</w:t>
      </w:r>
      <w:r>
        <w:rPr>
          <w:spacing w:val="-1"/>
        </w:rPr>
        <w:t xml:space="preserve"> </w:t>
      </w:r>
      <w:r>
        <w:t>part</w:t>
      </w:r>
      <w:r>
        <w:rPr>
          <w:spacing w:val="-1"/>
        </w:rPr>
        <w:t xml:space="preserve"> </w:t>
      </w:r>
      <w:r>
        <w:t>of</w:t>
      </w:r>
      <w:r>
        <w:rPr>
          <w:spacing w:val="-1"/>
        </w:rPr>
        <w:t xml:space="preserve"> </w:t>
      </w:r>
      <w:r>
        <w:t>an</w:t>
      </w:r>
      <w:r>
        <w:rPr>
          <w:spacing w:val="-1"/>
        </w:rPr>
        <w:t xml:space="preserve"> </w:t>
      </w:r>
      <w:r>
        <w:t>organisation,</w:t>
      </w:r>
      <w:r>
        <w:rPr>
          <w:spacing w:val="-1"/>
        </w:rPr>
        <w:t xml:space="preserve"> </w:t>
      </w:r>
      <w:r>
        <w:t>for</w:t>
      </w:r>
      <w:r>
        <w:rPr>
          <w:spacing w:val="-1"/>
        </w:rPr>
        <w:t xml:space="preserve"> </w:t>
      </w:r>
      <w:r>
        <w:t>internal</w:t>
      </w:r>
      <w:r>
        <w:rPr>
          <w:spacing w:val="-1"/>
        </w:rPr>
        <w:t xml:space="preserve"> </w:t>
      </w:r>
      <w:r>
        <w:t>use</w:t>
      </w:r>
      <w:r>
        <w:rPr>
          <w:spacing w:val="-1"/>
        </w:rPr>
        <w:t xml:space="preserve"> </w:t>
      </w:r>
      <w:r>
        <w:t>within</w:t>
      </w:r>
      <w:r>
        <w:rPr>
          <w:spacing w:val="-1"/>
        </w:rPr>
        <w:t xml:space="preserve"> </w:t>
      </w:r>
      <w:r>
        <w:t>your</w:t>
      </w:r>
      <w:r>
        <w:rPr>
          <w:spacing w:val="-1"/>
        </w:rPr>
        <w:t xml:space="preserve"> </w:t>
      </w:r>
      <w:r>
        <w:t>organisation,</w:t>
      </w:r>
      <w:r>
        <w:rPr>
          <w:spacing w:val="-1"/>
        </w:rPr>
        <w:t xml:space="preserve"> </w:t>
      </w:r>
      <w:r>
        <w:t>but</w:t>
      </w:r>
      <w:r>
        <w:rPr>
          <w:spacing w:val="-1"/>
        </w:rPr>
        <w:t xml:space="preserve"> </w:t>
      </w:r>
      <w:r>
        <w:t>only if</w:t>
      </w:r>
      <w:r>
        <w:rPr>
          <w:spacing w:val="-1"/>
        </w:rPr>
        <w:t xml:space="preserve"> </w:t>
      </w:r>
      <w:r>
        <w:t>you</w:t>
      </w:r>
      <w:r>
        <w:rPr>
          <w:spacing w:val="-1"/>
        </w:rPr>
        <w:t xml:space="preserve"> </w:t>
      </w:r>
      <w:r>
        <w:t>or</w:t>
      </w:r>
      <w:r>
        <w:rPr>
          <w:spacing w:val="-1"/>
        </w:rPr>
        <w:t xml:space="preserve"> </w:t>
      </w:r>
      <w:r>
        <w:t>your organisation</w:t>
      </w:r>
      <w:r>
        <w:rPr>
          <w:spacing w:val="-1"/>
        </w:rPr>
        <w:t xml:space="preserve"> </w:t>
      </w:r>
      <w:r>
        <w:t>do</w:t>
      </w:r>
      <w:r>
        <w:rPr>
          <w:spacing w:val="-1"/>
        </w:rPr>
        <w:t xml:space="preserve"> </w:t>
      </w:r>
      <w:r>
        <w:t>not</w:t>
      </w:r>
      <w:r>
        <w:rPr>
          <w:spacing w:val="-1"/>
        </w:rPr>
        <w:t xml:space="preserve"> </w:t>
      </w:r>
      <w:r>
        <w:t>use the</w:t>
      </w:r>
      <w:r>
        <w:rPr>
          <w:spacing w:val="-1"/>
        </w:rPr>
        <w:t xml:space="preserve"> </w:t>
      </w:r>
      <w:r>
        <w:t>reproduction</w:t>
      </w:r>
      <w:r>
        <w:rPr>
          <w:spacing w:val="-1"/>
        </w:rPr>
        <w:t xml:space="preserve"> </w:t>
      </w:r>
      <w:r>
        <w:t>for</w:t>
      </w:r>
      <w:r>
        <w:rPr>
          <w:spacing w:val="-1"/>
        </w:rPr>
        <w:t xml:space="preserve"> </w:t>
      </w:r>
      <w:r>
        <w:t>any commercial</w:t>
      </w:r>
      <w:r>
        <w:rPr>
          <w:spacing w:val="-1"/>
        </w:rPr>
        <w:t xml:space="preserve"> </w:t>
      </w:r>
      <w:r>
        <w:t>purpose</w:t>
      </w:r>
      <w:r>
        <w:rPr>
          <w:spacing w:val="-1"/>
        </w:rPr>
        <w:t xml:space="preserve"> </w:t>
      </w:r>
      <w:r>
        <w:t>and retain</w:t>
      </w:r>
      <w:r>
        <w:rPr>
          <w:spacing w:val="-1"/>
        </w:rPr>
        <w:t xml:space="preserve"> </w:t>
      </w:r>
      <w:r>
        <w:t>this</w:t>
      </w:r>
      <w:r>
        <w:rPr>
          <w:spacing w:val="-1"/>
        </w:rPr>
        <w:t xml:space="preserve"> </w:t>
      </w:r>
      <w:r>
        <w:t>copyright</w:t>
      </w:r>
      <w:r>
        <w:rPr>
          <w:spacing w:val="-1"/>
        </w:rPr>
        <w:t xml:space="preserve"> </w:t>
      </w:r>
      <w:r>
        <w:t>notice and</w:t>
      </w:r>
      <w:r>
        <w:rPr>
          <w:spacing w:val="-2"/>
        </w:rPr>
        <w:t xml:space="preserve"> </w:t>
      </w:r>
      <w:r>
        <w:t>all</w:t>
      </w:r>
      <w:r>
        <w:rPr>
          <w:spacing w:val="-1"/>
        </w:rPr>
        <w:t xml:space="preserve"> </w:t>
      </w:r>
      <w:r>
        <w:t>disclaimer</w:t>
      </w:r>
      <w:r>
        <w:rPr>
          <w:spacing w:val="-1"/>
        </w:rPr>
        <w:t xml:space="preserve"> </w:t>
      </w:r>
      <w:r>
        <w:t>notices</w:t>
      </w:r>
      <w:r>
        <w:rPr>
          <w:spacing w:val="-1"/>
        </w:rPr>
        <w:t xml:space="preserve"> </w:t>
      </w:r>
      <w:r>
        <w:t>as</w:t>
      </w:r>
      <w:r>
        <w:rPr>
          <w:spacing w:val="-1"/>
        </w:rPr>
        <w:t xml:space="preserve"> </w:t>
      </w:r>
      <w:r>
        <w:t>part</w:t>
      </w:r>
      <w:r>
        <w:rPr>
          <w:spacing w:val="-1"/>
        </w:rPr>
        <w:t xml:space="preserve"> </w:t>
      </w:r>
      <w:r>
        <w:t>of</w:t>
      </w:r>
      <w:r>
        <w:rPr>
          <w:spacing w:val="-1"/>
        </w:rPr>
        <w:t xml:space="preserve"> </w:t>
      </w:r>
      <w:r>
        <w:t>that</w:t>
      </w:r>
      <w:r>
        <w:rPr>
          <w:spacing w:val="-1"/>
        </w:rPr>
        <w:t xml:space="preserve"> </w:t>
      </w:r>
      <w:r>
        <w:t>reproduction.</w:t>
      </w:r>
      <w:r>
        <w:rPr>
          <w:spacing w:val="-1"/>
        </w:rPr>
        <w:t xml:space="preserve"> </w:t>
      </w:r>
      <w:r>
        <w:t>Apart</w:t>
      </w:r>
      <w:r>
        <w:rPr>
          <w:spacing w:val="-1"/>
        </w:rPr>
        <w:t xml:space="preserve"> </w:t>
      </w:r>
      <w:r>
        <w:t>from</w:t>
      </w:r>
      <w:r>
        <w:rPr>
          <w:spacing w:val="-1"/>
        </w:rPr>
        <w:t xml:space="preserve"> </w:t>
      </w:r>
      <w:r>
        <w:t>rights</w:t>
      </w:r>
      <w:r>
        <w:rPr>
          <w:spacing w:val="-1"/>
        </w:rPr>
        <w:t xml:space="preserve"> </w:t>
      </w:r>
      <w:r>
        <w:t>to</w:t>
      </w:r>
      <w:r>
        <w:rPr>
          <w:spacing w:val="-1"/>
        </w:rPr>
        <w:t xml:space="preserve"> </w:t>
      </w:r>
      <w:r>
        <w:t>use</w:t>
      </w:r>
      <w:r>
        <w:rPr>
          <w:spacing w:val="-2"/>
        </w:rPr>
        <w:t xml:space="preserve"> </w:t>
      </w:r>
      <w:r>
        <w:t>as</w:t>
      </w:r>
      <w:r>
        <w:rPr>
          <w:spacing w:val="-1"/>
        </w:rPr>
        <w:t xml:space="preserve"> </w:t>
      </w:r>
      <w:r>
        <w:t>permitted</w:t>
      </w:r>
      <w:r>
        <w:rPr>
          <w:spacing w:val="-1"/>
        </w:rPr>
        <w:t xml:space="preserve"> </w:t>
      </w:r>
      <w:r>
        <w:t>by</w:t>
      </w:r>
      <w:r>
        <w:rPr>
          <w:spacing w:val="-1"/>
        </w:rPr>
        <w:t xml:space="preserve"> </w:t>
      </w:r>
      <w:r>
        <w:t>the</w:t>
      </w:r>
      <w:r>
        <w:rPr>
          <w:spacing w:val="-1"/>
        </w:rPr>
        <w:t xml:space="preserve"> </w:t>
      </w:r>
      <w:r>
        <w:t>Copyright</w:t>
      </w:r>
      <w:r>
        <w:rPr>
          <w:spacing w:val="-1"/>
        </w:rPr>
        <w:t xml:space="preserve"> </w:t>
      </w:r>
      <w:r>
        <w:t>Act</w:t>
      </w:r>
      <w:r>
        <w:rPr>
          <w:spacing w:val="-1"/>
        </w:rPr>
        <w:t xml:space="preserve"> </w:t>
      </w:r>
      <w:r>
        <w:t>1968 or</w:t>
      </w:r>
      <w:r>
        <w:rPr>
          <w:spacing w:val="-1"/>
        </w:rPr>
        <w:t xml:space="preserve"> </w:t>
      </w:r>
      <w:r>
        <w:t>allowed</w:t>
      </w:r>
      <w:r>
        <w:rPr>
          <w:spacing w:val="-1"/>
        </w:rPr>
        <w:t xml:space="preserve"> </w:t>
      </w:r>
      <w:r>
        <w:t>by</w:t>
      </w:r>
      <w:r>
        <w:rPr>
          <w:spacing w:val="-1"/>
        </w:rPr>
        <w:t xml:space="preserve"> </w:t>
      </w:r>
      <w:r>
        <w:t>this copyright</w:t>
      </w:r>
      <w:r>
        <w:rPr>
          <w:spacing w:val="-1"/>
        </w:rPr>
        <w:t xml:space="preserve"> </w:t>
      </w:r>
      <w:r>
        <w:t>notice,</w:t>
      </w:r>
      <w:r>
        <w:rPr>
          <w:spacing w:val="-1"/>
        </w:rPr>
        <w:t xml:space="preserve"> </w:t>
      </w:r>
      <w:r>
        <w:t>all other</w:t>
      </w:r>
      <w:r>
        <w:rPr>
          <w:spacing w:val="-1"/>
        </w:rPr>
        <w:t xml:space="preserve"> </w:t>
      </w:r>
      <w:r>
        <w:t>rights</w:t>
      </w:r>
      <w:r>
        <w:rPr>
          <w:spacing w:val="-1"/>
        </w:rPr>
        <w:t xml:space="preserve"> </w:t>
      </w:r>
      <w:r>
        <w:t>are reserved</w:t>
      </w:r>
      <w:r>
        <w:rPr>
          <w:spacing w:val="-1"/>
        </w:rPr>
        <w:t xml:space="preserve"> </w:t>
      </w:r>
      <w:r>
        <w:t>and</w:t>
      </w:r>
      <w:r>
        <w:rPr>
          <w:spacing w:val="-1"/>
        </w:rPr>
        <w:t xml:space="preserve"> </w:t>
      </w:r>
      <w:r>
        <w:t>you are</w:t>
      </w:r>
      <w:r>
        <w:rPr>
          <w:spacing w:val="-1"/>
        </w:rPr>
        <w:t xml:space="preserve"> </w:t>
      </w:r>
      <w:r>
        <w:t>not</w:t>
      </w:r>
      <w:r>
        <w:rPr>
          <w:spacing w:val="-1"/>
        </w:rPr>
        <w:t xml:space="preserve"> </w:t>
      </w:r>
      <w:r>
        <w:t>allowed to</w:t>
      </w:r>
      <w:r>
        <w:rPr>
          <w:spacing w:val="-1"/>
        </w:rPr>
        <w:t xml:space="preserve"> </w:t>
      </w:r>
      <w:r>
        <w:t>reproduce</w:t>
      </w:r>
      <w:r>
        <w:rPr>
          <w:spacing w:val="-1"/>
        </w:rPr>
        <w:t xml:space="preserve"> </w:t>
      </w:r>
      <w:r>
        <w:t>the whole</w:t>
      </w:r>
      <w:r>
        <w:rPr>
          <w:spacing w:val="-1"/>
        </w:rPr>
        <w:t xml:space="preserve"> </w:t>
      </w:r>
      <w:r>
        <w:t>or</w:t>
      </w:r>
      <w:r>
        <w:rPr>
          <w:spacing w:val="-1"/>
        </w:rPr>
        <w:t xml:space="preserve"> </w:t>
      </w:r>
      <w:r>
        <w:t>any part</w:t>
      </w:r>
      <w:r>
        <w:rPr>
          <w:spacing w:val="-1"/>
        </w:rPr>
        <w:t xml:space="preserve"> </w:t>
      </w:r>
      <w:r>
        <w:t>of</w:t>
      </w:r>
      <w:r>
        <w:rPr>
          <w:spacing w:val="-1"/>
        </w:rPr>
        <w:t xml:space="preserve"> </w:t>
      </w:r>
      <w:r>
        <w:t>this</w:t>
      </w:r>
      <w:r>
        <w:rPr>
          <w:spacing w:val="-1"/>
        </w:rPr>
        <w:t xml:space="preserve"> </w:t>
      </w:r>
      <w:r>
        <w:t>work</w:t>
      </w:r>
      <w:r>
        <w:rPr>
          <w:spacing w:val="-1"/>
        </w:rPr>
        <w:t xml:space="preserve"> </w:t>
      </w:r>
      <w:r>
        <w:t>in</w:t>
      </w:r>
      <w:r>
        <w:rPr>
          <w:spacing w:val="-1"/>
        </w:rPr>
        <w:t xml:space="preserve"> </w:t>
      </w:r>
      <w:r>
        <w:t>any</w:t>
      </w:r>
      <w:r>
        <w:rPr>
          <w:spacing w:val="-1"/>
        </w:rPr>
        <w:t xml:space="preserve"> </w:t>
      </w:r>
      <w:r>
        <w:t>way (electronic</w:t>
      </w:r>
      <w:r>
        <w:rPr>
          <w:spacing w:val="-1"/>
        </w:rPr>
        <w:t xml:space="preserve"> </w:t>
      </w:r>
      <w:r>
        <w:t>or</w:t>
      </w:r>
      <w:r>
        <w:rPr>
          <w:spacing w:val="-1"/>
        </w:rPr>
        <w:t xml:space="preserve"> </w:t>
      </w:r>
      <w:r>
        <w:t>otherwise)</w:t>
      </w:r>
      <w:r>
        <w:rPr>
          <w:spacing w:val="-1"/>
        </w:rPr>
        <w:t xml:space="preserve"> </w:t>
      </w:r>
      <w:r>
        <w:t>without</w:t>
      </w:r>
      <w:r>
        <w:rPr>
          <w:spacing w:val="-1"/>
        </w:rPr>
        <w:t xml:space="preserve"> </w:t>
      </w:r>
      <w:r>
        <w:t>first</w:t>
      </w:r>
      <w:r>
        <w:rPr>
          <w:spacing w:val="-1"/>
        </w:rPr>
        <w:t xml:space="preserve"> </w:t>
      </w:r>
      <w:r>
        <w:t>being</w:t>
      </w:r>
      <w:r>
        <w:rPr>
          <w:spacing w:val="-1"/>
        </w:rPr>
        <w:t xml:space="preserve"> </w:t>
      </w:r>
      <w:r>
        <w:t>given the</w:t>
      </w:r>
      <w:r>
        <w:rPr>
          <w:spacing w:val="-1"/>
        </w:rPr>
        <w:t xml:space="preserve"> </w:t>
      </w:r>
      <w:r>
        <w:t>specific</w:t>
      </w:r>
      <w:r>
        <w:rPr>
          <w:spacing w:val="-1"/>
        </w:rPr>
        <w:t xml:space="preserve"> </w:t>
      </w:r>
      <w:r>
        <w:t>written</w:t>
      </w:r>
      <w:r>
        <w:rPr>
          <w:spacing w:val="-1"/>
        </w:rPr>
        <w:t xml:space="preserve"> </w:t>
      </w:r>
      <w:r>
        <w:t>permission</w:t>
      </w:r>
      <w:r>
        <w:rPr>
          <w:spacing w:val="-1"/>
        </w:rPr>
        <w:t xml:space="preserve"> </w:t>
      </w:r>
      <w:r>
        <w:t>from</w:t>
      </w:r>
      <w:r>
        <w:rPr>
          <w:spacing w:val="-1"/>
        </w:rPr>
        <w:t xml:space="preserve"> </w:t>
      </w:r>
      <w:r>
        <w:t>the Commonwealth</w:t>
      </w:r>
      <w:r>
        <w:rPr>
          <w:spacing w:val="-2"/>
        </w:rPr>
        <w:t xml:space="preserve"> </w:t>
      </w:r>
      <w:r>
        <w:t>to</w:t>
      </w:r>
      <w:r>
        <w:rPr>
          <w:spacing w:val="-1"/>
        </w:rPr>
        <w:t xml:space="preserve"> </w:t>
      </w:r>
      <w:r>
        <w:t>do</w:t>
      </w:r>
      <w:r>
        <w:rPr>
          <w:spacing w:val="-1"/>
        </w:rPr>
        <w:t xml:space="preserve"> </w:t>
      </w:r>
      <w:r>
        <w:t>so.</w:t>
      </w:r>
      <w:r>
        <w:rPr>
          <w:spacing w:val="-1"/>
        </w:rPr>
        <w:t xml:space="preserve"> </w:t>
      </w:r>
      <w:r>
        <w:t>Requests</w:t>
      </w:r>
      <w:r>
        <w:rPr>
          <w:spacing w:val="-1"/>
        </w:rPr>
        <w:t xml:space="preserve"> </w:t>
      </w:r>
      <w:r>
        <w:t>and</w:t>
      </w:r>
      <w:r>
        <w:rPr>
          <w:spacing w:val="-1"/>
        </w:rPr>
        <w:t xml:space="preserve"> </w:t>
      </w:r>
      <w:r>
        <w:t>inquiries</w:t>
      </w:r>
      <w:r>
        <w:rPr>
          <w:spacing w:val="-1"/>
        </w:rPr>
        <w:t xml:space="preserve"> </w:t>
      </w:r>
      <w:r>
        <w:t>concerning</w:t>
      </w:r>
      <w:r>
        <w:rPr>
          <w:spacing w:val="-1"/>
        </w:rPr>
        <w:t xml:space="preserve"> </w:t>
      </w:r>
      <w:r>
        <w:t>reproduction</w:t>
      </w:r>
      <w:r>
        <w:rPr>
          <w:spacing w:val="-1"/>
        </w:rPr>
        <w:t xml:space="preserve"> </w:t>
      </w:r>
      <w:r>
        <w:t>and</w:t>
      </w:r>
      <w:r>
        <w:rPr>
          <w:spacing w:val="-1"/>
        </w:rPr>
        <w:t xml:space="preserve"> </w:t>
      </w:r>
      <w:r>
        <w:t>rights</w:t>
      </w:r>
      <w:r>
        <w:rPr>
          <w:spacing w:val="-1"/>
        </w:rPr>
        <w:t xml:space="preserve"> </w:t>
      </w:r>
      <w:r>
        <w:t>are</w:t>
      </w:r>
      <w:r>
        <w:rPr>
          <w:spacing w:val="-1"/>
        </w:rPr>
        <w:t xml:space="preserve"> </w:t>
      </w:r>
      <w:r>
        <w:t>to</w:t>
      </w:r>
      <w:r>
        <w:rPr>
          <w:spacing w:val="-2"/>
        </w:rPr>
        <w:t xml:space="preserve"> </w:t>
      </w:r>
      <w:r>
        <w:t>be</w:t>
      </w:r>
      <w:r>
        <w:rPr>
          <w:spacing w:val="-1"/>
        </w:rPr>
        <w:t xml:space="preserve"> </w:t>
      </w:r>
      <w:r>
        <w:t>sent</w:t>
      </w:r>
      <w:r>
        <w:rPr>
          <w:spacing w:val="-1"/>
        </w:rPr>
        <w:t xml:space="preserve"> </w:t>
      </w:r>
      <w:r>
        <w:t>to</w:t>
      </w:r>
      <w:r>
        <w:rPr>
          <w:spacing w:val="-1"/>
        </w:rPr>
        <w:t xml:space="preserve"> </w:t>
      </w:r>
      <w:r>
        <w:t>the Communication</w:t>
      </w:r>
      <w:r>
        <w:rPr>
          <w:spacing w:val="-2"/>
        </w:rPr>
        <w:t xml:space="preserve"> </w:t>
      </w:r>
      <w:r>
        <w:t>Branch,</w:t>
      </w:r>
      <w:r>
        <w:rPr>
          <w:spacing w:val="-1"/>
        </w:rPr>
        <w:t xml:space="preserve"> </w:t>
      </w:r>
      <w:r>
        <w:t>Department</w:t>
      </w:r>
      <w:r>
        <w:rPr>
          <w:spacing w:val="-1"/>
        </w:rPr>
        <w:t xml:space="preserve"> </w:t>
      </w:r>
      <w:r>
        <w:t>of</w:t>
      </w:r>
      <w:r>
        <w:rPr>
          <w:spacing w:val="-1"/>
        </w:rPr>
        <w:t xml:space="preserve"> </w:t>
      </w:r>
      <w:r>
        <w:t>Health,</w:t>
      </w:r>
      <w:r>
        <w:rPr>
          <w:spacing w:val="-1"/>
        </w:rPr>
        <w:t xml:space="preserve"> </w:t>
      </w:r>
      <w:r>
        <w:t>GPO</w:t>
      </w:r>
      <w:r>
        <w:rPr>
          <w:spacing w:val="-1"/>
        </w:rPr>
        <w:t xml:space="preserve"> </w:t>
      </w:r>
      <w:r>
        <w:t>Box</w:t>
      </w:r>
      <w:r>
        <w:rPr>
          <w:spacing w:val="-2"/>
        </w:rPr>
        <w:t xml:space="preserve"> </w:t>
      </w:r>
      <w:r>
        <w:t>9848,</w:t>
      </w:r>
      <w:r>
        <w:rPr>
          <w:spacing w:val="-1"/>
        </w:rPr>
        <w:t xml:space="preserve"> </w:t>
      </w:r>
      <w:r>
        <w:t>Canberra</w:t>
      </w:r>
      <w:r>
        <w:rPr>
          <w:spacing w:val="-1"/>
        </w:rPr>
        <w:t xml:space="preserve"> </w:t>
      </w:r>
      <w:r>
        <w:t>ACT</w:t>
      </w:r>
      <w:r>
        <w:rPr>
          <w:spacing w:val="-1"/>
        </w:rPr>
        <w:t xml:space="preserve"> </w:t>
      </w:r>
      <w:r>
        <w:t>2601,</w:t>
      </w:r>
      <w:r>
        <w:rPr>
          <w:spacing w:val="-1"/>
        </w:rPr>
        <w:t xml:space="preserve"> </w:t>
      </w:r>
      <w:r>
        <w:t>or</w:t>
      </w:r>
      <w:r>
        <w:rPr>
          <w:spacing w:val="-1"/>
        </w:rPr>
        <w:t xml:space="preserve"> </w:t>
      </w:r>
      <w:r>
        <w:t>via</w:t>
      </w:r>
      <w:r>
        <w:rPr>
          <w:spacing w:val="-2"/>
        </w:rPr>
        <w:t xml:space="preserve"> </w:t>
      </w:r>
      <w:r>
        <w:t>e-mail</w:t>
      </w:r>
      <w:r>
        <w:rPr>
          <w:spacing w:val="-1"/>
        </w:rPr>
        <w:t xml:space="preserve"> </w:t>
      </w:r>
      <w:r>
        <w:t>to</w:t>
      </w:r>
      <w:r>
        <w:rPr>
          <w:w w:val="99"/>
        </w:rPr>
        <w:t xml:space="preserve"> </w:t>
      </w:r>
      <w:hyperlink r:id="rId5" w:history="1">
        <w:r>
          <w:rPr>
            <w:rStyle w:val="Hyperlink"/>
          </w:rPr>
          <w:t>copyright@health.gov.au</w:t>
        </w:r>
        <w:r>
          <w:rPr>
            <w:rStyle w:val="Hyperlink"/>
            <w:spacing w:val="3"/>
          </w:rPr>
          <w:t xml:space="preserve"> </w:t>
        </w:r>
      </w:hyperlink>
      <w:r>
        <w:rPr>
          <w:b/>
          <w:bCs/>
        </w:rPr>
        <w:t>.</w:t>
      </w:r>
    </w:p>
    <w:p w:rsidR="00A33B77" w:rsidRDefault="00A33B77" w:rsidP="00A33B77">
      <w:pPr>
        <w:spacing w:before="18" w:line="200" w:lineRule="exact"/>
        <w:ind w:right="111"/>
      </w:pPr>
      <w:r>
        <w:t> </w:t>
      </w:r>
    </w:p>
    <w:p w:rsidR="00A33B77" w:rsidRDefault="00A33B77" w:rsidP="00A33B77">
      <w:pPr>
        <w:spacing w:before="80"/>
        <w:rPr>
          <w:w w:val="99"/>
        </w:rPr>
      </w:pPr>
      <w:r>
        <w:t>Enquiries</w:t>
      </w:r>
      <w:r>
        <w:rPr>
          <w:spacing w:val="-1"/>
        </w:rPr>
        <w:t xml:space="preserve"> </w:t>
      </w:r>
      <w:r>
        <w:t>concerning</w:t>
      </w:r>
      <w:r>
        <w:rPr>
          <w:spacing w:val="-1"/>
        </w:rPr>
        <w:t xml:space="preserve"> </w:t>
      </w:r>
      <w:r>
        <w:t>this</w:t>
      </w:r>
      <w:r>
        <w:rPr>
          <w:spacing w:val="-1"/>
        </w:rPr>
        <w:t xml:space="preserve"> </w:t>
      </w:r>
      <w:r>
        <w:t>report</w:t>
      </w:r>
      <w:r>
        <w:rPr>
          <w:spacing w:val="-1"/>
        </w:rPr>
        <w:t xml:space="preserve"> </w:t>
      </w:r>
      <w:r>
        <w:t>and</w:t>
      </w:r>
      <w:r>
        <w:rPr>
          <w:spacing w:val="-1"/>
        </w:rPr>
        <w:t xml:space="preserve"> </w:t>
      </w:r>
      <w:r>
        <w:t>its reproduction</w:t>
      </w:r>
      <w:r>
        <w:rPr>
          <w:spacing w:val="-1"/>
        </w:rPr>
        <w:t xml:space="preserve"> </w:t>
      </w:r>
      <w:r>
        <w:t>should</w:t>
      </w:r>
      <w:r>
        <w:rPr>
          <w:spacing w:val="-1"/>
        </w:rPr>
        <w:t xml:space="preserve"> </w:t>
      </w:r>
      <w:r>
        <w:t>be</w:t>
      </w:r>
      <w:r>
        <w:rPr>
          <w:spacing w:val="-1"/>
        </w:rPr>
        <w:t xml:space="preserve"> </w:t>
      </w:r>
      <w:r>
        <w:t>directed</w:t>
      </w:r>
      <w:r>
        <w:rPr>
          <w:spacing w:val="-1"/>
        </w:rPr>
        <w:t xml:space="preserve"> </w:t>
      </w:r>
      <w:r>
        <w:t>to:</w:t>
      </w:r>
      <w:r>
        <w:rPr>
          <w:w w:val="99"/>
        </w:rPr>
        <w:t xml:space="preserve"> </w:t>
      </w:r>
    </w:p>
    <w:p w:rsidR="00A33B77" w:rsidRDefault="00A33B77" w:rsidP="00A33B77">
      <w:pPr>
        <w:spacing w:before="80"/>
      </w:pPr>
      <w:r>
        <w:rPr>
          <w:w w:val="99"/>
        </w:rPr>
        <w:br/>
      </w:r>
      <w:r>
        <w:t>Department</w:t>
      </w:r>
      <w:r>
        <w:rPr>
          <w:spacing w:val="-2"/>
        </w:rPr>
        <w:t xml:space="preserve"> </w:t>
      </w:r>
      <w:r>
        <w:t>of</w:t>
      </w:r>
      <w:r>
        <w:rPr>
          <w:spacing w:val="-1"/>
        </w:rPr>
        <w:t xml:space="preserve"> </w:t>
      </w:r>
      <w:r>
        <w:t>Health</w:t>
      </w:r>
    </w:p>
    <w:p w:rsidR="00A33B77" w:rsidRDefault="00A33B77" w:rsidP="00A33B77">
      <w:pPr>
        <w:spacing w:before="80"/>
      </w:pPr>
      <w:r>
        <w:t>GPO</w:t>
      </w:r>
      <w:r>
        <w:rPr>
          <w:spacing w:val="-3"/>
        </w:rPr>
        <w:t xml:space="preserve"> </w:t>
      </w:r>
      <w:r>
        <w:t>Box</w:t>
      </w:r>
      <w:r>
        <w:rPr>
          <w:spacing w:val="-3"/>
        </w:rPr>
        <w:t xml:space="preserve"> </w:t>
      </w:r>
      <w:r>
        <w:t>9848</w:t>
      </w:r>
    </w:p>
    <w:p w:rsidR="00A33B77" w:rsidRDefault="00A33B77" w:rsidP="00A33B77">
      <w:pPr>
        <w:pStyle w:val="BodyText"/>
        <w:widowControl w:val="0"/>
        <w:spacing w:line="300" w:lineRule="auto"/>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p>
    <w:p w:rsidR="00A33B77" w:rsidRDefault="0053739B" w:rsidP="00A33B77">
      <w:pPr>
        <w:pStyle w:val="BodyText"/>
        <w:widowControl w:val="0"/>
        <w:spacing w:line="300" w:lineRule="auto"/>
        <w:ind w:right="111"/>
        <w:rPr>
          <w:rFonts w:ascii="Times New Roman" w:hAnsi="Times New Roman" w:cs="Times New Roman"/>
          <w:sz w:val="24"/>
          <w:szCs w:val="24"/>
          <w14:ligatures w14:val="none"/>
        </w:rPr>
      </w:pPr>
      <w:hyperlink r:id="rId6" w:history="1">
        <w:r w:rsidR="00A33B77">
          <w:rPr>
            <w:rStyle w:val="Hyperlink"/>
            <w:sz w:val="24"/>
            <w:szCs w:val="24"/>
          </w:rPr>
          <w:t>healthworkforcedata@health.gov.au</w:t>
        </w:r>
      </w:hyperlink>
    </w:p>
    <w:p w:rsidR="00A33B77" w:rsidRDefault="00A33B77" w:rsidP="00A33B77">
      <w:pPr>
        <w:pStyle w:val="Heading2"/>
      </w:pPr>
      <w:r>
        <w:t>References</w:t>
      </w:r>
    </w:p>
    <w:p w:rsidR="00A33B77" w:rsidRDefault="00A33B77" w:rsidP="00A33B77">
      <w:pPr>
        <w:spacing w:after="80"/>
        <w:ind w:left="567" w:right="111" w:hanging="567"/>
      </w:pPr>
      <w:r>
        <w:t>1) Registered and employed workforce data, National Health Workforce Dataset — (http://hwd.health.gov.au</w:t>
      </w:r>
      <w:proofErr w:type="gramStart"/>
      <w:r>
        <w:t>)</w:t>
      </w:r>
      <w:proofErr w:type="gramEnd"/>
      <w:r>
        <w:br/>
      </w:r>
      <w:r w:rsidRPr="00A33B77">
        <w:rPr>
          <w:i/>
          <w:iCs/>
          <w:sz w:val="20"/>
          <w:szCs w:val="20"/>
        </w:rPr>
        <w:t xml:space="preserve">Note: These numbers have changed due to an error in the NHWDS for 2013-2016 and won't match the previous </w:t>
      </w:r>
      <w:proofErr w:type="spellStart"/>
      <w:r w:rsidRPr="00A33B77">
        <w:rPr>
          <w:i/>
          <w:iCs/>
          <w:sz w:val="20"/>
          <w:szCs w:val="20"/>
        </w:rPr>
        <w:t>years</w:t>
      </w:r>
      <w:proofErr w:type="spellEnd"/>
      <w:r w:rsidRPr="00A33B77">
        <w:rPr>
          <w:i/>
          <w:iCs/>
          <w:sz w:val="20"/>
          <w:szCs w:val="20"/>
        </w:rPr>
        <w:t xml:space="preserve"> figures in the 2016 factsheets.</w:t>
      </w:r>
    </w:p>
    <w:p w:rsidR="00A33B77" w:rsidRDefault="00A33B77" w:rsidP="007936FF">
      <w:pPr>
        <w:spacing w:after="80"/>
        <w:ind w:left="567" w:hanging="567"/>
      </w:pPr>
      <w:r>
        <w:t>2) ABS - 3218.0 Regional Population Growth, Australia (http://www.abs.gov.au/ausstats/abs@.nsf/mf/3218.0), released at 11:30 AM (CANBERRA TIME) 31/08/2018</w:t>
      </w:r>
    </w:p>
    <w:p w:rsidR="0053739B" w:rsidRDefault="0053739B" w:rsidP="0053739B"/>
    <w:p w:rsidR="0053739B" w:rsidRDefault="0053739B" w:rsidP="0053739B">
      <w:r>
        <w:t xml:space="preserve">Contact: </w:t>
      </w:r>
      <w:hyperlink r:id="rId7" w:history="1">
        <w:r>
          <w:rPr>
            <w:rStyle w:val="Hyperlink"/>
          </w:rPr>
          <w:t>healthworkforcedata@health.gov.au</w:t>
        </w:r>
      </w:hyperlink>
    </w:p>
    <w:p w:rsidR="0053739B" w:rsidRPr="0053739B" w:rsidRDefault="0053739B" w:rsidP="0053739B">
      <w:pPr>
        <w:rPr>
          <w:rFonts w:ascii="Calibri" w:hAnsi="Calibri" w:cs="Calibri"/>
        </w:rPr>
      </w:pPr>
      <w:r>
        <w:t>NHWDS Data Tool and Resources: http://hwd.health.gov.au</w:t>
      </w:r>
      <w:bookmarkStart w:id="0" w:name="_GoBack"/>
      <w:bookmarkEnd w:id="0"/>
    </w:p>
    <w:sectPr w:rsidR="0053739B" w:rsidRPr="0053739B" w:rsidSect="00A33B77">
      <w:pgSz w:w="11906" w:h="16838"/>
      <w:pgMar w:top="1440" w:right="1797" w:bottom="1134"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312B"/>
    <w:rsid w:val="00003743"/>
    <w:rsid w:val="00067456"/>
    <w:rsid w:val="001B3443"/>
    <w:rsid w:val="00244F62"/>
    <w:rsid w:val="0029312B"/>
    <w:rsid w:val="002F3AE3"/>
    <w:rsid w:val="0030786C"/>
    <w:rsid w:val="003D17F9"/>
    <w:rsid w:val="004867E2"/>
    <w:rsid w:val="0053739B"/>
    <w:rsid w:val="0056539B"/>
    <w:rsid w:val="007936FF"/>
    <w:rsid w:val="008264EB"/>
    <w:rsid w:val="00A33B77"/>
    <w:rsid w:val="00A4512D"/>
    <w:rsid w:val="00A705AF"/>
    <w:rsid w:val="00B42851"/>
    <w:rsid w:val="00CB5B1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33B77"/>
    <w:pPr>
      <w:widowControl w:val="0"/>
      <w:spacing w:before="120" w:line="285" w:lineRule="auto"/>
    </w:pPr>
    <w:rPr>
      <w:color w:val="000000"/>
      <w:kern w:val="28"/>
      <w:sz w:val="24"/>
      <w:szCs w:val="24"/>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29312B"/>
    <w:pPr>
      <w:spacing w:before="180"/>
      <w:outlineLvl w:val="1"/>
    </w:pPr>
    <w:rPr>
      <w:b/>
      <w:bCs/>
      <w:color w:val="000099"/>
      <w:spacing w:val="5"/>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A33B77"/>
    <w:rPr>
      <w:rFonts w:ascii="Times New Roman" w:hAnsi="Times New Roman" w:cs="Times New Roman"/>
      <w:b/>
      <w:bCs/>
      <w:iCs/>
      <w:color w:val="000099"/>
      <w:spacing w:val="5"/>
      <w:sz w:val="64"/>
      <w:szCs w:val="64"/>
      <w14:ligatures w14:val="none"/>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uiPriority w:val="21"/>
    <w:qFormat/>
    <w:rsid w:val="00A33B77"/>
    <w:rPr>
      <w:rFonts w:ascii="Times New Roman" w:hAnsi="Times New Roman" w:cs="Times New Roman"/>
      <w:iCs/>
      <w:color w:val="000099"/>
      <w:spacing w:val="5"/>
      <w:sz w:val="30"/>
      <w:szCs w:val="30"/>
      <w14:ligatures w14:val="none"/>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A33B77"/>
    <w:rPr>
      <w:color w:val="0000FF"/>
      <w:u w:val="single"/>
    </w:rPr>
  </w:style>
  <w:style w:type="paragraph" w:styleId="BodyText">
    <w:name w:val="Body Text"/>
    <w:link w:val="BodyTextChar"/>
    <w:uiPriority w:val="99"/>
    <w:unhideWhenUsed/>
    <w:rsid w:val="00A33B77"/>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A33B77"/>
    <w:rPr>
      <w:rFonts w:ascii="Calibri" w:hAnsi="Calibri" w:cs="Calibri"/>
      <w:color w:val="000000"/>
      <w:kern w:val="28"/>
      <w14:ligatures w14:val="standard"/>
      <w14:cntxtAlt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33B77"/>
    <w:pPr>
      <w:widowControl w:val="0"/>
      <w:spacing w:before="120" w:line="285" w:lineRule="auto"/>
    </w:pPr>
    <w:rPr>
      <w:color w:val="000000"/>
      <w:kern w:val="28"/>
      <w:sz w:val="24"/>
      <w:szCs w:val="24"/>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29312B"/>
    <w:pPr>
      <w:spacing w:before="180"/>
      <w:outlineLvl w:val="1"/>
    </w:pPr>
    <w:rPr>
      <w:b/>
      <w:bCs/>
      <w:color w:val="000099"/>
      <w:spacing w:val="5"/>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A33B77"/>
    <w:rPr>
      <w:rFonts w:ascii="Times New Roman" w:hAnsi="Times New Roman" w:cs="Times New Roman"/>
      <w:b/>
      <w:bCs/>
      <w:iCs/>
      <w:color w:val="000099"/>
      <w:spacing w:val="5"/>
      <w:sz w:val="64"/>
      <w:szCs w:val="64"/>
      <w14:ligatures w14:val="none"/>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uiPriority w:val="21"/>
    <w:qFormat/>
    <w:rsid w:val="00A33B77"/>
    <w:rPr>
      <w:rFonts w:ascii="Times New Roman" w:hAnsi="Times New Roman" w:cs="Times New Roman"/>
      <w:iCs/>
      <w:color w:val="000099"/>
      <w:spacing w:val="5"/>
      <w:sz w:val="30"/>
      <w:szCs w:val="30"/>
      <w14:ligatures w14:val="none"/>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A33B77"/>
    <w:rPr>
      <w:color w:val="0000FF"/>
      <w:u w:val="single"/>
    </w:rPr>
  </w:style>
  <w:style w:type="paragraph" w:styleId="BodyText">
    <w:name w:val="Body Text"/>
    <w:link w:val="BodyTextChar"/>
    <w:uiPriority w:val="99"/>
    <w:unhideWhenUsed/>
    <w:rsid w:val="00A33B77"/>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A33B77"/>
    <w:rPr>
      <w:rFonts w:ascii="Calibri" w:hAnsi="Calibri" w:cs="Calibri"/>
      <w:color w:val="000000"/>
      <w:kern w:val="28"/>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927048">
      <w:bodyDiv w:val="1"/>
      <w:marLeft w:val="0"/>
      <w:marRight w:val="0"/>
      <w:marTop w:val="0"/>
      <w:marBottom w:val="0"/>
      <w:divBdr>
        <w:top w:val="none" w:sz="0" w:space="0" w:color="auto"/>
        <w:left w:val="none" w:sz="0" w:space="0" w:color="auto"/>
        <w:bottom w:val="none" w:sz="0" w:space="0" w:color="auto"/>
        <w:right w:val="none" w:sz="0" w:space="0" w:color="auto"/>
      </w:divBdr>
    </w:div>
    <w:div w:id="986546126">
      <w:bodyDiv w:val="1"/>
      <w:marLeft w:val="0"/>
      <w:marRight w:val="0"/>
      <w:marTop w:val="0"/>
      <w:marBottom w:val="0"/>
      <w:divBdr>
        <w:top w:val="none" w:sz="0" w:space="0" w:color="auto"/>
        <w:left w:val="none" w:sz="0" w:space="0" w:color="auto"/>
        <w:bottom w:val="none" w:sz="0" w:space="0" w:color="auto"/>
        <w:right w:val="none" w:sz="0" w:space="0" w:color="auto"/>
      </w:divBdr>
    </w:div>
    <w:div w:id="1243636707">
      <w:bodyDiv w:val="1"/>
      <w:marLeft w:val="0"/>
      <w:marRight w:val="0"/>
      <w:marTop w:val="0"/>
      <w:marBottom w:val="0"/>
      <w:divBdr>
        <w:top w:val="none" w:sz="0" w:space="0" w:color="auto"/>
        <w:left w:val="none" w:sz="0" w:space="0" w:color="auto"/>
        <w:bottom w:val="none" w:sz="0" w:space="0" w:color="auto"/>
        <w:right w:val="none" w:sz="0" w:space="0" w:color="auto"/>
      </w:divBdr>
    </w:div>
    <w:div w:id="1479806573">
      <w:bodyDiv w:val="1"/>
      <w:marLeft w:val="0"/>
      <w:marRight w:val="0"/>
      <w:marTop w:val="0"/>
      <w:marBottom w:val="0"/>
      <w:divBdr>
        <w:top w:val="none" w:sz="0" w:space="0" w:color="auto"/>
        <w:left w:val="none" w:sz="0" w:space="0" w:color="auto"/>
        <w:bottom w:val="none" w:sz="0" w:space="0" w:color="auto"/>
        <w:right w:val="none" w:sz="0" w:space="0" w:color="auto"/>
      </w:divBdr>
    </w:div>
    <w:div w:id="1630626025">
      <w:bodyDiv w:val="1"/>
      <w:marLeft w:val="0"/>
      <w:marRight w:val="0"/>
      <w:marTop w:val="0"/>
      <w:marBottom w:val="0"/>
      <w:divBdr>
        <w:top w:val="none" w:sz="0" w:space="0" w:color="auto"/>
        <w:left w:val="none" w:sz="0" w:space="0" w:color="auto"/>
        <w:bottom w:val="none" w:sz="0" w:space="0" w:color="auto"/>
        <w:right w:val="none" w:sz="0" w:space="0" w:color="auto"/>
      </w:divBdr>
    </w:div>
    <w:div w:id="1813328612">
      <w:bodyDiv w:val="1"/>
      <w:marLeft w:val="0"/>
      <w:marRight w:val="0"/>
      <w:marTop w:val="0"/>
      <w:marBottom w:val="0"/>
      <w:divBdr>
        <w:top w:val="none" w:sz="0" w:space="0" w:color="auto"/>
        <w:left w:val="none" w:sz="0" w:space="0" w:color="auto"/>
        <w:bottom w:val="none" w:sz="0" w:space="0" w:color="auto"/>
        <w:right w:val="none" w:sz="0" w:space="0" w:color="auto"/>
      </w:divBdr>
    </w:div>
    <w:div w:id="2130394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ealthworkforcedata@health.gov.a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healthworkforcedata@health.gov.au" TargetMode="External"/><Relationship Id="rId5" Type="http://schemas.openxmlformats.org/officeDocument/2006/relationships/hyperlink" Target="mailto:copyright@health.gov.a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4</Pages>
  <Words>1349</Words>
  <Characters>7404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Jeffery Linda</dc:creator>
  <cp:lastModifiedBy>Jeffery Linda</cp:lastModifiedBy>
  <cp:revision>5</cp:revision>
  <dcterms:created xsi:type="dcterms:W3CDTF">2019-01-29T01:53:00Z</dcterms:created>
  <dcterms:modified xsi:type="dcterms:W3CDTF">2019-01-29T03:51:00Z</dcterms:modified>
</cp:coreProperties>
</file>